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0" w:rsidRPr="00C83280" w:rsidRDefault="0046604D" w:rsidP="00C83280">
      <w:pPr>
        <w:spacing w:line="240" w:lineRule="auto"/>
        <w:ind w:firstLine="880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第六届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重庆市十佳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科技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青年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奖候选人</w:t>
      </w:r>
      <w:r w:rsidR="00DB0F16">
        <w:rPr>
          <w:rFonts w:ascii="Times New Roman" w:eastAsia="方正小标宋_GBK" w:hAnsi="Times New Roman" w:hint="eastAsia"/>
          <w:color w:val="000000"/>
          <w:sz w:val="44"/>
          <w:szCs w:val="44"/>
        </w:rPr>
        <w:t>公示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表</w:t>
      </w:r>
    </w:p>
    <w:tbl>
      <w:tblPr>
        <w:tblW w:w="15714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552"/>
        <w:gridCol w:w="392"/>
        <w:gridCol w:w="554"/>
        <w:gridCol w:w="646"/>
        <w:gridCol w:w="692"/>
        <w:gridCol w:w="416"/>
        <w:gridCol w:w="484"/>
        <w:gridCol w:w="3700"/>
        <w:gridCol w:w="947"/>
        <w:gridCol w:w="3613"/>
        <w:gridCol w:w="3300"/>
      </w:tblGrid>
      <w:tr w:rsidR="00DB0F16" w:rsidRPr="001554FD" w:rsidTr="00DB0F16">
        <w:trPr>
          <w:trHeight w:val="1380"/>
          <w:jc w:val="center"/>
        </w:trPr>
        <w:tc>
          <w:tcPr>
            <w:tcW w:w="418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5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9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54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46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9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416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484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700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重要科技奖项情况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（8项以内）</w:t>
            </w:r>
          </w:p>
        </w:tc>
        <w:tc>
          <w:tcPr>
            <w:tcW w:w="947" w:type="dxa"/>
            <w:vAlign w:val="center"/>
          </w:tcPr>
          <w:p w:rsidR="00DB0F16" w:rsidRPr="001554FD" w:rsidRDefault="00DB0F16" w:rsidP="00F45380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获重大人才培养计划、基金资助项目情况（100字以内）</w:t>
            </w:r>
          </w:p>
        </w:tc>
        <w:tc>
          <w:tcPr>
            <w:tcW w:w="3613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代表性论文、著作和重要发明专利情况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（4篇/册、专利2项）</w:t>
            </w:r>
          </w:p>
        </w:tc>
        <w:tc>
          <w:tcPr>
            <w:tcW w:w="3300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主要技术成就和贡献情况（300字以内）</w:t>
            </w:r>
          </w:p>
        </w:tc>
      </w:tr>
      <w:tr w:rsidR="00DB0F16" w:rsidRPr="001554FD" w:rsidTr="00DB0F16">
        <w:trPr>
          <w:trHeight w:val="1974"/>
          <w:jc w:val="center"/>
        </w:trPr>
        <w:tc>
          <w:tcPr>
            <w:tcW w:w="418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39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554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46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1987.10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博士研究生、博士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484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信息与通信工程</w:t>
            </w:r>
          </w:p>
        </w:tc>
        <w:tc>
          <w:tcPr>
            <w:tcW w:w="3700" w:type="dxa"/>
            <w:vAlign w:val="center"/>
          </w:tcPr>
          <w:p w:rsidR="00DB0F16" w:rsidRPr="001554FD" w:rsidRDefault="00DB0F16" w:rsidP="001554FD">
            <w:pPr>
              <w:pStyle w:val="a8"/>
              <w:numPr>
                <w:ilvl w:val="0"/>
                <w:numId w:val="2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吴文俊人工智能自然科学二等奖，排名第1；</w:t>
            </w:r>
          </w:p>
          <w:p w:rsidR="00DB0F16" w:rsidRPr="001554FD" w:rsidRDefault="00DB0F16" w:rsidP="001554FD">
            <w:pPr>
              <w:pStyle w:val="a8"/>
              <w:numPr>
                <w:ilvl w:val="0"/>
                <w:numId w:val="2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重庆市自然科学二等奖，排名第1</w:t>
            </w:r>
          </w:p>
          <w:p w:rsidR="00DB0F16" w:rsidRPr="001554FD" w:rsidRDefault="00DB0F16" w:rsidP="001554FD">
            <w:pPr>
              <w:pStyle w:val="a8"/>
              <w:numPr>
                <w:ilvl w:val="0"/>
                <w:numId w:val="2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ACM SIGAI Rising Star award, ACM</w:t>
            </w:r>
            <w:r w:rsidRPr="001554FD"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中国新星奖，排名第1</w:t>
            </w:r>
          </w:p>
          <w:p w:rsidR="00DB0F16" w:rsidRPr="001554FD" w:rsidRDefault="00DB0F16" w:rsidP="001554FD">
            <w:pPr>
              <w:pStyle w:val="a8"/>
              <w:numPr>
                <w:ilvl w:val="0"/>
                <w:numId w:val="2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CCBR国际会议最佳论文奖</w:t>
            </w:r>
            <w:r w:rsidRPr="001554FD"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,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排名第2</w:t>
            </w:r>
          </w:p>
          <w:p w:rsidR="00DB0F16" w:rsidRPr="001554FD" w:rsidRDefault="00DB0F16" w:rsidP="001554FD">
            <w:pPr>
              <w:pStyle w:val="a8"/>
              <w:numPr>
                <w:ilvl w:val="0"/>
                <w:numId w:val="2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香江学者奖，排名第1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重庆市自然科学优秀论文奖，排名第1</w:t>
            </w:r>
          </w:p>
        </w:tc>
        <w:tc>
          <w:tcPr>
            <w:tcW w:w="947" w:type="dxa"/>
            <w:vAlign w:val="center"/>
          </w:tcPr>
          <w:p w:rsidR="00DB0F16" w:rsidRPr="001554FD" w:rsidRDefault="00DB0F16" w:rsidP="001554FD">
            <w:pPr>
              <w:pStyle w:val="a8"/>
              <w:numPr>
                <w:ilvl w:val="0"/>
                <w:numId w:val="3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获得国家香江学者计划</w:t>
            </w:r>
          </w:p>
          <w:p w:rsidR="00DB0F16" w:rsidRPr="001554FD" w:rsidRDefault="00DB0F16" w:rsidP="001554FD">
            <w:pPr>
              <w:pStyle w:val="a8"/>
              <w:numPr>
                <w:ilvl w:val="0"/>
                <w:numId w:val="3"/>
              </w:numPr>
              <w:spacing w:line="300" w:lineRule="atLeast"/>
              <w:ind w:firstLineChars="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获得重庆市青年拔尖人才计划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获得重庆市学术技术带头人后备人选称号</w:t>
            </w:r>
          </w:p>
        </w:tc>
        <w:tc>
          <w:tcPr>
            <w:tcW w:w="3613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color w:val="00000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 w:hint="eastAsia"/>
                <w:b/>
                <w:color w:val="000000"/>
                <w:sz w:val="18"/>
                <w:szCs w:val="18"/>
              </w:rPr>
              <w:t>4篇代表性论文：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b/>
                <w:color w:val="000000"/>
                <w:sz w:val="18"/>
                <w:szCs w:val="18"/>
              </w:rPr>
              <w:t>[1] Lei Zhang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 xml:space="preserve">*, </w:t>
            </w:r>
            <w:proofErr w:type="spellStart"/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Wangmeng</w:t>
            </w:r>
            <w:proofErr w:type="spellEnd"/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Zuo</w:t>
            </w:r>
            <w:proofErr w:type="spellEnd"/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 xml:space="preserve">, David Zhang, “LSDT: Latent Sparse Domain Transfer Learning for Visual Adaptation,” </w:t>
            </w:r>
            <w:r w:rsidRPr="001554FD">
              <w:rPr>
                <w:rFonts w:asciiTheme="minorEastAsia" w:eastAsiaTheme="minorEastAsia" w:hAnsiTheme="minorEastAsia" w:cs="Times New Roman"/>
                <w:b/>
                <w:color w:val="0000FF"/>
                <w:sz w:val="18"/>
                <w:szCs w:val="18"/>
              </w:rPr>
              <w:t>IEEE Transactions on Image Processing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, vol. 25, no. 3, pp. 1177-1191, Mar 2016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.刊物影响因子：9.34，他引次数：110次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b/>
                <w:color w:val="000000"/>
                <w:sz w:val="18"/>
                <w:szCs w:val="18"/>
              </w:rPr>
              <w:t>[2] Lei Zhang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*</w:t>
            </w:r>
            <w:r w:rsidRPr="001554FD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  <w:t xml:space="preserve">, David Zhang, “Robust Visual Knowledge Transfer via Extreme Learning Machine-Based Domain Adaptation,” </w:t>
            </w:r>
            <w:r w:rsidRPr="001554FD">
              <w:rPr>
                <w:rFonts w:asciiTheme="minorEastAsia" w:eastAsiaTheme="minorEastAsia" w:hAnsiTheme="minorEastAsia" w:cs="Times New Roman"/>
                <w:b/>
                <w:color w:val="0000FF"/>
                <w:sz w:val="18"/>
                <w:szCs w:val="18"/>
              </w:rPr>
              <w:t>IEEE Transactions on Image Processing</w:t>
            </w:r>
            <w:r w:rsidRPr="001554FD">
              <w:rPr>
                <w:rFonts w:asciiTheme="minorEastAsia" w:eastAsiaTheme="minorEastAsia" w:hAnsiTheme="minorEastAsia" w:cs="Times New Roman"/>
                <w:i/>
                <w:color w:val="000000" w:themeColor="text1"/>
                <w:sz w:val="18"/>
                <w:szCs w:val="18"/>
              </w:rPr>
              <w:t>,</w:t>
            </w:r>
            <w:r w:rsidRPr="001554FD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  <w:t xml:space="preserve"> vol. 25, no. 10, pp. 4959-4973, Oct 2016</w:t>
            </w:r>
            <w:r w:rsidRPr="001554FD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.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刊物影响因子：9.34，他引次数：10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8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次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b/>
                <w:color w:val="000000"/>
                <w:sz w:val="18"/>
                <w:szCs w:val="18"/>
              </w:rPr>
              <w:t>[3] Lei Zhang*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 xml:space="preserve">, David Zhang, “Evolutionary Cost-sensitive Extreme Learning Machine,” </w:t>
            </w:r>
            <w:r w:rsidRPr="001554FD">
              <w:rPr>
                <w:rFonts w:asciiTheme="minorEastAsia" w:eastAsiaTheme="minorEastAsia" w:hAnsiTheme="minorEastAsia" w:cs="Times New Roman"/>
                <w:b/>
                <w:color w:val="3333FF"/>
                <w:sz w:val="18"/>
                <w:szCs w:val="18"/>
              </w:rPr>
              <w:t>IEEE Transactions on Neural Network and Learning Systems</w:t>
            </w:r>
            <w:r w:rsidRPr="001554FD">
              <w:rPr>
                <w:rFonts w:asciiTheme="minorEastAsia" w:eastAsiaTheme="minorEastAsia" w:hAnsiTheme="minorEastAsia" w:cs="Times New Roman"/>
                <w:i/>
                <w:color w:val="000000"/>
                <w:sz w:val="18"/>
                <w:szCs w:val="18"/>
              </w:rPr>
              <w:t>,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 xml:space="preserve"> vol. 28, no. 12, pp. 3045-3060, 2017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  <w:t>.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刊物影响因子：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8.793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，他引次数：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95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次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b/>
                <w:color w:val="000000"/>
                <w:sz w:val="18"/>
                <w:szCs w:val="18"/>
              </w:rPr>
              <w:t>[4] Lei Zhang*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  <w:t>, David Zhang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  <w:t xml:space="preserve">, “Domain Adaptation Extreme Learning Machines 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for Drift Compensation in E-nose Systems,” </w:t>
            </w:r>
            <w:r w:rsidRPr="001554FD">
              <w:rPr>
                <w:rFonts w:asciiTheme="minorEastAsia" w:eastAsiaTheme="minorEastAsia" w:hAnsiTheme="minorEastAsia" w:cs="Times New Roman"/>
                <w:b/>
                <w:color w:val="3333FF"/>
                <w:kern w:val="0"/>
                <w:sz w:val="18"/>
                <w:szCs w:val="18"/>
              </w:rPr>
              <w:t>IEEE Transactions on Instrumentation &amp; Measurement</w:t>
            </w:r>
            <w:r w:rsidRPr="001554FD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  <w:t>, vol. 64, no. 7, pp. 1790-1801, July 2015.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刊物影响因子：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3.658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，他引次数：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55次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2项专利：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[1]</w:t>
            </w:r>
            <w:r w:rsidRPr="001554FD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张磊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，邓平聆。基于一类局部表达模型的</w:t>
            </w:r>
            <w:proofErr w:type="gramStart"/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电子鼻非目标</w:t>
            </w:r>
            <w:proofErr w:type="gramEnd"/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干扰气体识别方法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。</w:t>
            </w:r>
            <w:r w:rsidRPr="001554FD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中国</w:t>
            </w:r>
            <w:r w:rsidRPr="001554FD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发明专利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，申请年份：2017，授权年份：2019，授权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号：201710009931.1</w:t>
            </w:r>
          </w:p>
          <w:p w:rsidR="00DB0F16" w:rsidRPr="001554FD" w:rsidRDefault="00DB0F16" w:rsidP="001554FD">
            <w:pPr>
              <w:spacing w:line="300" w:lineRule="atLeast"/>
              <w:ind w:firstLine="360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[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2]</w:t>
            </w:r>
            <w:r w:rsidRPr="001554FD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张磊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，刘燕。一种传感器漂移的自适应调节方法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。</w:t>
            </w:r>
            <w:r w:rsidRPr="001554FD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中国</w:t>
            </w:r>
            <w:r w:rsidRPr="001554FD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发明专利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，</w:t>
            </w:r>
            <w:r w:rsidRPr="001554F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申请年份：2016，授权年份：2018，授权</w:t>
            </w:r>
            <w:r w:rsidRPr="001554F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号：201610647861.8</w:t>
            </w:r>
          </w:p>
        </w:tc>
        <w:tc>
          <w:tcPr>
            <w:tcW w:w="3300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申请人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承担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国家自然科学基金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、重庆市人工智能重大专项子课题、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中国电子科技集体第十四研究所项目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等1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项，在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人工智能、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机器学习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、军民应用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领域做了大量的理论与应用研究。申请人聚焦于人工智能基础理论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和产业化应用落地。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在I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EEE T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r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ansactions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等高水平顶级期刊以及C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CF-A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类国际高水平顶级会议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发表学术论文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0余篇。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其中，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以第一和通讯作者发表SCI期刊论文合计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篇，包括IEEE Transactions会刊长文论文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篇。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出版学术专著1部，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获CCBR最佳论文奖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1次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带领团队在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ACM MM 2017 RFIW人工智能人脸亲属关系识别大规模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国际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挑战赛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中获得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第3名。2018年晋升为美国电子与电气工程师协会IEEE Senior Member。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以第1完成人获得省部级科技成果奖2项。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研究成果获得了中国工程院院士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欧洲科学院院士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以及I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EEE Fellow在内的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大量知名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学者的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正面引用评价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提出的一系列智能理论与算法模型在</w:t>
            </w:r>
            <w:proofErr w:type="gramStart"/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中电科14所</w:t>
            </w:r>
            <w:proofErr w:type="gramEnd"/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、长沙海格北斗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的军民项目中获得应用，同时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研发的智能仿生嗅觉技术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实现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产品化，被评为“重庆市重点新产品”，并获得中国联通重庆分公司、重庆环境科学研究院的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</w:t>
            </w:r>
            <w:r w:rsidRPr="001554FD">
              <w:rPr>
                <w:rFonts w:asciiTheme="minorEastAsia" w:eastAsiaTheme="minorEastAsia" w:hAnsiTheme="minorEastAsia"/>
                <w:sz w:val="18"/>
                <w:szCs w:val="18"/>
              </w:rPr>
              <w:t>好评</w:t>
            </w:r>
            <w:r w:rsidRPr="001554FD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  <w:p w:rsidR="00DB0F16" w:rsidRPr="001554FD" w:rsidRDefault="00DB0F16" w:rsidP="001554FD">
            <w:pPr>
              <w:pStyle w:val="a0"/>
              <w:spacing w:line="300" w:lineRule="atLeast"/>
              <w:ind w:firstLine="360"/>
              <w:rPr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</w:pPr>
          </w:p>
        </w:tc>
      </w:tr>
      <w:tr w:rsidR="00DB0F16" w:rsidRPr="001554FD" w:rsidTr="008D4C2C">
        <w:trPr>
          <w:trHeight w:val="751"/>
          <w:jc w:val="center"/>
        </w:trPr>
        <w:tc>
          <w:tcPr>
            <w:tcW w:w="418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55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8"/>
              </w:rPr>
              <w:t>中国科学院重庆绿色智能技术研究院</w:t>
            </w:r>
          </w:p>
        </w:tc>
        <w:tc>
          <w:tcPr>
            <w:tcW w:w="392" w:type="dxa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石宇</w:t>
            </w:r>
          </w:p>
        </w:tc>
        <w:tc>
          <w:tcPr>
            <w:tcW w:w="554" w:type="dxa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男</w:t>
            </w:r>
          </w:p>
        </w:tc>
        <w:tc>
          <w:tcPr>
            <w:tcW w:w="646" w:type="dxa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1980.4</w:t>
            </w:r>
          </w:p>
        </w:tc>
        <w:tc>
          <w:tcPr>
            <w:tcW w:w="692" w:type="dxa"/>
            <w:shd w:val="clear" w:color="auto" w:fill="auto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硕士研究生</w:t>
            </w:r>
          </w:p>
        </w:tc>
        <w:tc>
          <w:tcPr>
            <w:tcW w:w="416" w:type="dxa"/>
            <w:shd w:val="clear" w:color="auto" w:fill="auto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教授级高级工程师</w:t>
            </w:r>
          </w:p>
        </w:tc>
        <w:tc>
          <w:tcPr>
            <w:tcW w:w="484" w:type="dxa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计算机科学与技术</w:t>
            </w:r>
          </w:p>
        </w:tc>
        <w:tc>
          <w:tcPr>
            <w:tcW w:w="3700" w:type="dxa"/>
          </w:tcPr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1, 2018.12,2018年度中国科学院科技促进发展奖，省部级；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2.2018.12,2018年重庆市创新创业示范团队,省部级;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3.2018.05,中国科学院2018年第1季度科技成果转移转化亮点工作,省部级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4.2020.05,2019重庆市人工智能与实体经济深度</w:t>
            </w:r>
            <w:proofErr w:type="gram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融合十</w:t>
            </w:r>
            <w:proofErr w:type="gram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大应用案例,省部级;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5.2020.05,2019年重庆产学研创新成果奖一等奖,省部级（第一名）;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6.2017.12,2017年重庆产学研科技成果创新奖一等奖,省部级（第一名）;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7.2019.06,2018-2019年度互联网技术应用突出贡献人物,其他;</w:t>
            </w:r>
          </w:p>
          <w:p w:rsidR="00DB0F16" w:rsidRPr="001554FD" w:rsidRDefault="00DB0F16" w:rsidP="001554FD">
            <w:pPr>
              <w:spacing w:line="300" w:lineRule="atLeast"/>
              <w:ind w:firstLine="360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8.2018.01,中国科学院重庆研究院成果转化奖,其他.</w:t>
            </w:r>
          </w:p>
        </w:tc>
        <w:tc>
          <w:tcPr>
            <w:tcW w:w="947" w:type="dxa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2018.01获中国科学院“西部青年学者”A类人才</w:t>
            </w:r>
          </w:p>
        </w:tc>
        <w:tc>
          <w:tcPr>
            <w:tcW w:w="3613" w:type="dxa"/>
          </w:tcPr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发表论文：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1. </w:t>
            </w:r>
            <w:proofErr w:type="gram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程朋</w:t>
            </w:r>
            <w:proofErr w:type="gram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,刘鹏程,程诚,</w:t>
            </w:r>
            <w:proofErr w:type="gram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周祥</w:t>
            </w:r>
            <w:proofErr w:type="gram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东,石宇. 基于卷积神经网络的实时跟踪算法. 传感器与微系统, 2018, v.</w:t>
            </w:r>
            <w:proofErr w:type="gram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37:No.315(</w:t>
            </w:r>
            <w:proofErr w:type="gram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05):151-153.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2.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Fei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Yang,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Xiaohu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Shao,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Lijun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Zhang,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Pingling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Deng, Yu Shi. DFQA: Deep Face Image Quality Assessment, ICIG2019, 2019: 655-667.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3.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Peng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M, Wang C, Bi T, Shi Y. A Novel Apex-Time Network for Cross-Dataset Micro-Expression Recognition. </w:t>
            </w:r>
            <w:proofErr w:type="spellStart"/>
            <w:proofErr w:type="gram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arXiv</w:t>
            </w:r>
            <w:proofErr w:type="spellEnd"/>
            <w:proofErr w:type="gram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preprint arXiv:1904.03699, 2019.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4.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Zhaohong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Guo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Hui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Xu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Feng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Lu,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Qiufeng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Wang, </w:t>
            </w:r>
            <w:proofErr w:type="spell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Xiangdong</w:t>
            </w:r>
            <w:proofErr w:type="spell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Zhou, Yu Shi. Improving Irregular Text Recognition by Integrating Gabor Convolutional 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lastRenderedPageBreak/>
              <w:t>Network. International Conference on Tools with Artificial Intelligence, 2019: 286-293.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授权专利：</w:t>
            </w:r>
          </w:p>
          <w:p w:rsidR="00DB0F16" w:rsidRPr="003D23CD" w:rsidRDefault="00DB0F16" w:rsidP="003D23C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1. 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基于神经网络的人脸检测模型的训练、人脸检测方法及系统，邵枭虎,吕江靖,覃勋辉,</w:t>
            </w:r>
            <w:proofErr w:type="gramStart"/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周祥</w:t>
            </w:r>
            <w:proofErr w:type="gramEnd"/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东,石宇,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2016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ZL.201610906338.2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2019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CN106485230B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.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2.一种人脸识别智慧机场全流程系统，石宇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申皓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罗代建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proofErr w:type="gramStart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周祥</w:t>
            </w:r>
            <w:proofErr w:type="gramEnd"/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东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程俊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陈嘉翼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刘鹏程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王健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2019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201920057819.X,2019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,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ZL20192 0057819.X</w:t>
            </w:r>
            <w:r w:rsidRPr="003D23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.</w:t>
            </w:r>
          </w:p>
        </w:tc>
        <w:tc>
          <w:tcPr>
            <w:tcW w:w="3300" w:type="dxa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lastRenderedPageBreak/>
              <w:t>作为中科院重庆研究院智能安全技术研究中心主任，带领团队专注于计算机视觉、模式识别及自动推理与认知等领域的关键技术与产业化应用研究。在基础研究和技术转化工作成绩优异。带领团队研究的人脸识别等技术位于国际领先水平，2016-2018年带领团队获得多项世界级技术竞赛冠亚军。近五年带领团队发表国际高水平论文50余篇，申请知识产权70余项，研发项目10余项，总经费超4000万元。相关成果已在民航、安防、金融等领域实现技术转化，服务单位超100家，经济社会效益显著。其中研发的人脸识别辅助验证系统、全流人脸识别安检辅助系统等在全国大量机场应用，推动了我国民航安检智能化变</w:t>
            </w:r>
            <w:r w:rsidRPr="003D23CD">
              <w:rPr>
                <w:rFonts w:asciiTheme="minorEastAsia" w:eastAsiaTheme="minorEastAsia" w:hAnsiTheme="minorEastAsia" w:cs="Times New Roman"/>
                <w:sz w:val="18"/>
                <w:szCs w:val="18"/>
              </w:rPr>
              <w:lastRenderedPageBreak/>
              <w:t>革。带领团队成功申请重庆市工程技术中心、协同创新中心及多个重点实验室。</w:t>
            </w:r>
          </w:p>
        </w:tc>
      </w:tr>
      <w:tr w:rsidR="00DB0F16" w:rsidRPr="001554FD" w:rsidTr="00DB0F16">
        <w:trPr>
          <w:trHeight w:val="751"/>
          <w:jc w:val="center"/>
        </w:trPr>
        <w:tc>
          <w:tcPr>
            <w:tcW w:w="418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55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重庆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邮电大学</w:t>
            </w:r>
          </w:p>
        </w:tc>
        <w:tc>
          <w:tcPr>
            <w:tcW w:w="392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李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554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46" w:type="dxa"/>
            <w:vAlign w:val="center"/>
          </w:tcPr>
          <w:p w:rsidR="00DB0F16" w:rsidRPr="0054033D" w:rsidRDefault="00DB0F16" w:rsidP="0054033D">
            <w:pPr>
              <w:spacing w:line="300" w:lineRule="exact"/>
              <w:ind w:firstLine="36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1977.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研究生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，博士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both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484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3700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="360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重庆市自然科学二等奖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1项（排名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第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3），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重庆市科协2018年“自然科学优秀学术论文”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1篇（排名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第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2），重庆邮电大学优秀科研成果一等奖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项（分别排名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第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1,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2,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6）</w:t>
            </w:r>
          </w:p>
        </w:tc>
        <w:tc>
          <w:tcPr>
            <w:tcW w:w="947" w:type="dxa"/>
            <w:vAlign w:val="center"/>
          </w:tcPr>
          <w:p w:rsidR="00DB0F16" w:rsidRPr="0054033D" w:rsidRDefault="00DB0F16" w:rsidP="0054033D">
            <w:pPr>
              <w:spacing w:line="300" w:lineRule="exact"/>
              <w:ind w:firstLine="360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重庆市高校中青年骨干教师，重庆市研究生导师团队负责人，重庆市一流专业应用物理学专业负责人，</w:t>
            </w:r>
          </w:p>
          <w:p w:rsidR="00DB0F16" w:rsidRPr="001554FD" w:rsidRDefault="00DB0F16" w:rsidP="001554FD">
            <w:pPr>
              <w:spacing w:line="300" w:lineRule="atLeast"/>
              <w:ind w:firstLineChars="0" w:firstLine="0"/>
              <w:jc w:val="center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2019年重庆市留学人员回国创业创新支持人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选，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国家自然科学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lastRenderedPageBreak/>
              <w:t>青年基金获得者，国家自然科学面上项目（排名第二），“全国五一巾帼标兵岗”负责人。</w:t>
            </w:r>
          </w:p>
        </w:tc>
        <w:tc>
          <w:tcPr>
            <w:tcW w:w="3613" w:type="dxa"/>
            <w:vAlign w:val="center"/>
          </w:tcPr>
          <w:p w:rsidR="00DB0F16" w:rsidRPr="001554FD" w:rsidRDefault="00DB0F16" w:rsidP="001554FD">
            <w:pPr>
              <w:spacing w:line="300" w:lineRule="atLeast"/>
              <w:ind w:firstLine="360"/>
              <w:jc w:val="both"/>
              <w:rPr>
                <w:rFonts w:asciiTheme="minorEastAsia" w:eastAsia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lastRenderedPageBreak/>
              <w:t>以第一作者和通讯作者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发表SCI期刊论文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3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余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篇，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其中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篇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论文获得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2020年度ESI高被引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论文；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1篇论文获得2014年度材料科学ESI高被引论文；1篇论文获得重庆市科协2018年度自然科学优秀学术论文；单篇论文他</w:t>
            </w:r>
            <w:proofErr w:type="gramStart"/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引最高</w:t>
            </w:r>
            <w:proofErr w:type="gramEnd"/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次数6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次。申请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专利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2项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，其中授权专利</w:t>
            </w:r>
            <w:r w:rsidRPr="0054033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1项</w:t>
            </w:r>
            <w:r w:rsidRPr="0054033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300" w:type="dxa"/>
            <w:vAlign w:val="center"/>
          </w:tcPr>
          <w:p w:rsidR="00DB0F16" w:rsidRPr="001554FD" w:rsidRDefault="00DB0F16" w:rsidP="001554FD">
            <w:pPr>
              <w:pStyle w:val="a4"/>
              <w:spacing w:line="300" w:lineRule="atLeast"/>
              <w:ind w:firstLineChars="200" w:firstLine="360"/>
              <w:rPr>
                <w:rFonts w:asciiTheme="minorEastAsia" w:hAnsiTheme="minorEastAsia" w:cs="黑体"/>
                <w:color w:val="000000"/>
                <w:kern w:val="0"/>
                <w:sz w:val="18"/>
                <w:szCs w:val="18"/>
              </w:rPr>
            </w:pP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近5年主持国家自然科学基金项目1项，主持重庆市自然科学基金2项，主持重庆市教委科学技术研究项目1项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，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参与国家级、省部级项目多项。是波兰国家科学基金、重庆市自然科学基金评议专家。是国内外Renewable &amp; Sustainable Energy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Reviews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、Journal of 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the American Ceramic Society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Journal of Alloys and Compounds、发光学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报等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重要学术期刊的审稿人。主要研究方向集中在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信息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功能材料与器件。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所做的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科研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成果被2017年重庆邮电大学成果研制展示项目进行立项展示，具有很高的应用价值。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尤其是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在新型冠状病毒感染肺炎疫情发生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以来，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所研究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的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荧光温度传感材料及荧光温度传感器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在信息感测领域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具有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重要的理论和应用价值。由于在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信息功能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材料</w:t>
            </w:r>
            <w:r w:rsidRPr="0054033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与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器件研究领</w:t>
            </w:r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lastRenderedPageBreak/>
              <w:t>域的突出成就，受邀在第九届全国稀土发光材料学术研讨会暨国际论坛等会议上</w:t>
            </w:r>
            <w:proofErr w:type="gramStart"/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作邀请</w:t>
            </w:r>
            <w:proofErr w:type="gramEnd"/>
            <w:r w:rsidRPr="0054033D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报告。</w:t>
            </w:r>
          </w:p>
        </w:tc>
      </w:tr>
    </w:tbl>
    <w:p w:rsidR="002E4210" w:rsidRDefault="002E4210">
      <w:pPr>
        <w:ind w:firstLineChars="0" w:firstLine="0"/>
      </w:pPr>
      <w:bookmarkStart w:id="0" w:name="_GoBack"/>
      <w:bookmarkEnd w:id="0"/>
    </w:p>
    <w:sectPr w:rsidR="002E4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43" w:right="1440" w:bottom="82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B3" w:rsidRDefault="00480DB3" w:rsidP="00296C5A">
      <w:pPr>
        <w:spacing w:line="240" w:lineRule="auto"/>
        <w:ind w:firstLine="640"/>
      </w:pPr>
      <w:r>
        <w:separator/>
      </w:r>
    </w:p>
  </w:endnote>
  <w:endnote w:type="continuationSeparator" w:id="0">
    <w:p w:rsidR="00480DB3" w:rsidRDefault="00480DB3" w:rsidP="00296C5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5A" w:rsidRDefault="00296C5A" w:rsidP="00296C5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5A" w:rsidRDefault="00296C5A" w:rsidP="00296C5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5A" w:rsidRDefault="00296C5A" w:rsidP="00296C5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B3" w:rsidRDefault="00480DB3" w:rsidP="00296C5A">
      <w:pPr>
        <w:spacing w:line="240" w:lineRule="auto"/>
        <w:ind w:firstLine="640"/>
      </w:pPr>
      <w:r>
        <w:separator/>
      </w:r>
    </w:p>
  </w:footnote>
  <w:footnote w:type="continuationSeparator" w:id="0">
    <w:p w:rsidR="00480DB3" w:rsidRDefault="00480DB3" w:rsidP="00296C5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5A" w:rsidRDefault="00296C5A" w:rsidP="00296C5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5A" w:rsidRDefault="00296C5A" w:rsidP="00296C5A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C5A" w:rsidRDefault="00296C5A" w:rsidP="00296C5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368"/>
    <w:multiLevelType w:val="hybridMultilevel"/>
    <w:tmpl w:val="1DC8F958"/>
    <w:lvl w:ilvl="0" w:tplc="6270D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386665"/>
    <w:multiLevelType w:val="hybridMultilevel"/>
    <w:tmpl w:val="14FEA706"/>
    <w:lvl w:ilvl="0" w:tplc="B09859B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217853D6">
      <w:start w:val="1"/>
      <w:numFmt w:val="decimal"/>
      <w:lvlText w:val="%2、"/>
      <w:lvlJc w:val="left"/>
      <w:pPr>
        <w:ind w:left="97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">
    <w:nsid w:val="732DB12E"/>
    <w:multiLevelType w:val="singleLevel"/>
    <w:tmpl w:val="732DB12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0"/>
    <w:rsid w:val="001554FD"/>
    <w:rsid w:val="001F0315"/>
    <w:rsid w:val="00275431"/>
    <w:rsid w:val="00296C5A"/>
    <w:rsid w:val="002E4210"/>
    <w:rsid w:val="003D23CD"/>
    <w:rsid w:val="00462692"/>
    <w:rsid w:val="0046604D"/>
    <w:rsid w:val="00480DB3"/>
    <w:rsid w:val="0049590E"/>
    <w:rsid w:val="0054033D"/>
    <w:rsid w:val="006F699D"/>
    <w:rsid w:val="007D09C4"/>
    <w:rsid w:val="008A249F"/>
    <w:rsid w:val="00993A0D"/>
    <w:rsid w:val="009B45B7"/>
    <w:rsid w:val="00B04901"/>
    <w:rsid w:val="00BB4FA3"/>
    <w:rsid w:val="00C83280"/>
    <w:rsid w:val="00D25EDD"/>
    <w:rsid w:val="00DB0F16"/>
    <w:rsid w:val="00DB69C0"/>
    <w:rsid w:val="00E84E2A"/>
    <w:rsid w:val="00EA226B"/>
    <w:rsid w:val="00F45380"/>
    <w:rsid w:val="05FB7266"/>
    <w:rsid w:val="115F6E0D"/>
    <w:rsid w:val="12531EBF"/>
    <w:rsid w:val="130F42BB"/>
    <w:rsid w:val="270E65FB"/>
    <w:rsid w:val="283D1961"/>
    <w:rsid w:val="28FF05E8"/>
    <w:rsid w:val="29F53134"/>
    <w:rsid w:val="2E6E6F5E"/>
    <w:rsid w:val="2FCA0977"/>
    <w:rsid w:val="3350045F"/>
    <w:rsid w:val="41E12443"/>
    <w:rsid w:val="41EC7C8E"/>
    <w:rsid w:val="45425299"/>
    <w:rsid w:val="4ACD1F5E"/>
    <w:rsid w:val="7AC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ind w:firstLineChars="200" w:firstLine="200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240" w:lineRule="auto"/>
      <w:outlineLvl w:val="1"/>
    </w:pPr>
    <w:rPr>
      <w:rFonts w:ascii="Arial" w:eastAsia="宋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link w:val="Char"/>
    <w:qFormat/>
    <w:rPr>
      <w:rFonts w:ascii="Arial Unicode MS" w:eastAsia="Arial Unicode MS" w:hAnsi="Arial Unicode MS" w:cs="Arial Unicode MS"/>
      <w:szCs w:val="32"/>
      <w:lang w:val="zh-CN" w:bidi="zh-CN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4">
    <w:name w:val="Plain Text"/>
    <w:basedOn w:val="a"/>
    <w:qFormat/>
    <w:pPr>
      <w:adjustRightInd/>
      <w:snapToGrid/>
      <w:spacing w:line="240" w:lineRule="auto"/>
      <w:ind w:firstLineChars="0" w:firstLine="0"/>
      <w:jc w:val="both"/>
    </w:pPr>
    <w:rPr>
      <w:rFonts w:ascii="宋体" w:eastAsiaTheme="minorEastAsia" w:hAnsi="Courier New" w:cs="Courier New"/>
      <w:sz w:val="21"/>
      <w:szCs w:val="21"/>
    </w:rPr>
  </w:style>
  <w:style w:type="paragraph" w:customStyle="1" w:styleId="a5">
    <w:name w:val="正文（缩进）"/>
    <w:basedOn w:val="a"/>
    <w:next w:val="a"/>
    <w:uiPriority w:val="99"/>
    <w:qFormat/>
    <w:pPr>
      <w:widowControl/>
      <w:snapToGrid/>
      <w:spacing w:before="156" w:after="156" w:line="360" w:lineRule="auto"/>
      <w:ind w:firstLine="480"/>
    </w:pPr>
    <w:rPr>
      <w:rFonts w:ascii="仿宋" w:hAnsi="仿宋"/>
      <w:sz w:val="28"/>
      <w:szCs w:val="24"/>
      <w:lang w:bidi="th-TH"/>
    </w:rPr>
  </w:style>
  <w:style w:type="paragraph" w:styleId="a6">
    <w:name w:val="header"/>
    <w:basedOn w:val="a"/>
    <w:link w:val="Char0"/>
    <w:rsid w:val="00296C5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296C5A"/>
    <w:rPr>
      <w:rFonts w:asciiTheme="minorHAnsi" w:eastAsia="仿宋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296C5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296C5A"/>
    <w:rPr>
      <w:rFonts w:asciiTheme="minorHAnsi" w:eastAsia="仿宋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96C5A"/>
    <w:pPr>
      <w:ind w:firstLine="420"/>
    </w:pPr>
  </w:style>
  <w:style w:type="character" w:customStyle="1" w:styleId="Char">
    <w:name w:val="正文文本 Char"/>
    <w:basedOn w:val="a1"/>
    <w:link w:val="a0"/>
    <w:uiPriority w:val="99"/>
    <w:rsid w:val="0054033D"/>
    <w:rPr>
      <w:rFonts w:ascii="Arial Unicode MS" w:eastAsia="Arial Unicode MS" w:hAnsi="Arial Unicode MS" w:cs="Arial Unicode MS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560" w:lineRule="exact"/>
      <w:ind w:firstLineChars="200" w:firstLine="200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240" w:lineRule="auto"/>
      <w:outlineLvl w:val="1"/>
    </w:pPr>
    <w:rPr>
      <w:rFonts w:ascii="Arial" w:eastAsia="宋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link w:val="Char"/>
    <w:qFormat/>
    <w:rPr>
      <w:rFonts w:ascii="Arial Unicode MS" w:eastAsia="Arial Unicode MS" w:hAnsi="Arial Unicode MS" w:cs="Arial Unicode MS"/>
      <w:szCs w:val="32"/>
      <w:lang w:val="zh-CN" w:bidi="zh-CN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4">
    <w:name w:val="Plain Text"/>
    <w:basedOn w:val="a"/>
    <w:qFormat/>
    <w:pPr>
      <w:adjustRightInd/>
      <w:snapToGrid/>
      <w:spacing w:line="240" w:lineRule="auto"/>
      <w:ind w:firstLineChars="0" w:firstLine="0"/>
      <w:jc w:val="both"/>
    </w:pPr>
    <w:rPr>
      <w:rFonts w:ascii="宋体" w:eastAsiaTheme="minorEastAsia" w:hAnsi="Courier New" w:cs="Courier New"/>
      <w:sz w:val="21"/>
      <w:szCs w:val="21"/>
    </w:rPr>
  </w:style>
  <w:style w:type="paragraph" w:customStyle="1" w:styleId="a5">
    <w:name w:val="正文（缩进）"/>
    <w:basedOn w:val="a"/>
    <w:next w:val="a"/>
    <w:uiPriority w:val="99"/>
    <w:qFormat/>
    <w:pPr>
      <w:widowControl/>
      <w:snapToGrid/>
      <w:spacing w:before="156" w:after="156" w:line="360" w:lineRule="auto"/>
      <w:ind w:firstLine="480"/>
    </w:pPr>
    <w:rPr>
      <w:rFonts w:ascii="仿宋" w:hAnsi="仿宋"/>
      <w:sz w:val="28"/>
      <w:szCs w:val="24"/>
      <w:lang w:bidi="th-TH"/>
    </w:rPr>
  </w:style>
  <w:style w:type="paragraph" w:styleId="a6">
    <w:name w:val="header"/>
    <w:basedOn w:val="a"/>
    <w:link w:val="Char0"/>
    <w:rsid w:val="00296C5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296C5A"/>
    <w:rPr>
      <w:rFonts w:asciiTheme="minorHAnsi" w:eastAsia="仿宋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296C5A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296C5A"/>
    <w:rPr>
      <w:rFonts w:asciiTheme="minorHAnsi" w:eastAsia="仿宋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96C5A"/>
    <w:pPr>
      <w:ind w:firstLine="420"/>
    </w:pPr>
  </w:style>
  <w:style w:type="character" w:customStyle="1" w:styleId="Char">
    <w:name w:val="正文文本 Char"/>
    <w:basedOn w:val="a1"/>
    <w:link w:val="a0"/>
    <w:uiPriority w:val="99"/>
    <w:rsid w:val="0054033D"/>
    <w:rPr>
      <w:rFonts w:ascii="Arial Unicode MS" w:eastAsia="Arial Unicode MS" w:hAnsi="Arial Unicode MS" w:cs="Arial Unicode MS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620</Words>
  <Characters>3536</Characters>
  <Application>Microsoft Office Word</Application>
  <DocSecurity>0</DocSecurity>
  <Lines>29</Lines>
  <Paragraphs>8</Paragraphs>
  <ScaleCrop>false</ScaleCrop>
  <Company>CHINA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gufang</dc:creator>
  <cp:lastModifiedBy>USER</cp:lastModifiedBy>
  <cp:revision>7</cp:revision>
  <dcterms:created xsi:type="dcterms:W3CDTF">2020-07-23T14:23:00Z</dcterms:created>
  <dcterms:modified xsi:type="dcterms:W3CDTF">2020-07-24T04:14:00Z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